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spacing w:after="0" w:line="24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</w:t>
      </w:r>
      <w:r>
        <w:rPr>
          <w:rFonts w:ascii="Times New Roman" w:hAnsi="Times New Roman"/>
          <w:sz w:val="28"/>
        </w:rPr>
        <w:t xml:space="preserve">В </w:t>
      </w:r>
      <w:r>
        <w:rPr>
          <w:rFonts w:ascii="Times New Roman" w:hAnsi="Times New Roman"/>
          <w:sz w:val="28"/>
        </w:rPr>
        <w:t>Ловчиков</w:t>
      </w:r>
      <w:r>
        <w:rPr>
          <w:rFonts w:ascii="Times New Roman" w:hAnsi="Times New Roman"/>
          <w:sz w:val="28"/>
        </w:rPr>
        <w:t>ской основной школе в первой половине января 2025</w:t>
      </w:r>
      <w:r>
        <w:rPr>
          <w:rFonts w:ascii="Times New Roman" w:hAnsi="Times New Roman"/>
          <w:sz w:val="28"/>
        </w:rPr>
        <w:t xml:space="preserve"> года </w:t>
      </w:r>
      <w:r>
        <w:rPr>
          <w:rFonts w:ascii="Times New Roman" w:hAnsi="Times New Roman"/>
          <w:sz w:val="28"/>
        </w:rPr>
        <w:t xml:space="preserve">проводились </w:t>
      </w:r>
      <w:r>
        <w:rPr>
          <w:rFonts w:ascii="Times New Roman" w:hAnsi="Times New Roman"/>
          <w:sz w:val="28"/>
        </w:rPr>
        <w:t>образовательные мероприятия</w:t>
      </w:r>
      <w:r>
        <w:rPr>
          <w:rFonts w:ascii="Times New Roman" w:hAnsi="Times New Roman"/>
          <w:sz w:val="28"/>
        </w:rPr>
        <w:t xml:space="preserve"> и </w:t>
      </w:r>
      <w:r>
        <w:rPr>
          <w:rFonts w:ascii="Times New Roman" w:hAnsi="Times New Roman"/>
          <w:sz w:val="28"/>
        </w:rPr>
        <w:t>продолжалось изучение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предметов </w:t>
      </w:r>
      <w:r>
        <w:rPr>
          <w:rFonts w:ascii="Times New Roman" w:hAnsi="Times New Roman"/>
          <w:sz w:val="28"/>
        </w:rPr>
        <w:t>естественнонаучной направленнос</w:t>
      </w:r>
      <w:r>
        <w:rPr>
          <w:rFonts w:ascii="Times New Roman" w:hAnsi="Times New Roman"/>
          <w:sz w:val="28"/>
        </w:rPr>
        <w:t>ти</w:t>
      </w:r>
      <w:r>
        <w:rPr>
          <w:rFonts w:ascii="Times New Roman" w:hAnsi="Times New Roman"/>
          <w:sz w:val="28"/>
        </w:rPr>
        <w:t>.</w:t>
      </w:r>
    </w:p>
    <w:p w14:paraId="02000000">
      <w:pPr>
        <w:spacing w:after="0" w:line="24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На уроках и внеурочных занятиях по биологии пятиклассники изучали многообразие грибов, шестиклассники – строение цветка. В ходе занятий использовались: мультимедийный проектор, демонстрационные таблицы, коллекция шляпочных грибов, </w:t>
      </w:r>
      <w:r>
        <w:rPr>
          <w:rFonts w:ascii="Times New Roman" w:hAnsi="Times New Roman"/>
          <w:sz w:val="28"/>
        </w:rPr>
        <w:t>плодов и семян, а также гербарий</w:t>
      </w:r>
      <w:r>
        <w:rPr>
          <w:rFonts w:ascii="Times New Roman" w:hAnsi="Times New Roman"/>
          <w:sz w:val="28"/>
        </w:rPr>
        <w:t xml:space="preserve"> дикорастущих и культурных цветковых растений.</w:t>
      </w:r>
    </w:p>
    <w:p w14:paraId="03000000">
      <w:pPr>
        <w:spacing w:after="0" w:line="24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Восьмиклассники продолжали изучение беспозвоночных животных в ходе урока «Развитие насекомых с полным и неполным превращением». </w:t>
      </w:r>
    </w:p>
    <w:p w14:paraId="04000000">
      <w:pPr>
        <w:spacing w:after="0" w:line="24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- Я научился определять типы развития насекомых, принадлежащих к восьми отрядам, сказал ученик 8 класса Суетов Максим</w:t>
      </w:r>
      <w:r>
        <w:rPr>
          <w:rFonts w:ascii="Times New Roman" w:hAnsi="Times New Roman"/>
          <w:sz w:val="28"/>
        </w:rPr>
        <w:t>.</w:t>
      </w:r>
    </w:p>
    <w:p w14:paraId="05000000">
      <w:pPr>
        <w:spacing w:after="0" w:line="24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Девятиклассники интенсивно готовятся к ОГЭ по химии и биологии. </w:t>
      </w:r>
      <w:r>
        <w:rPr>
          <w:rFonts w:ascii="Times New Roman" w:hAnsi="Times New Roman"/>
          <w:sz w:val="28"/>
        </w:rPr>
        <w:t xml:space="preserve">В ходе занятия «В мире химии» разбирались задания на установление соответствия между предложенными процессами и объектами, повторялись химические свойства оксидов с применением необходимых реактивов, приборов и лабораторной посуды. </w:t>
      </w:r>
    </w:p>
    <w:p w14:paraId="06000000">
      <w:pPr>
        <w:numPr>
          <w:numId w:val="1"/>
        </w:numPr>
        <w:spacing w:after="0" w:line="24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Мы рассматриваем варианты типовых тренировочных заданий и приобретаем необходимые навыки для успешного прохождения итоговой аттестации. П</w:t>
      </w:r>
      <w:r>
        <w:rPr>
          <w:rFonts w:ascii="Times New Roman" w:hAnsi="Times New Roman"/>
          <w:sz w:val="28"/>
        </w:rPr>
        <w:t xml:space="preserve">ри этом используем материалы и оборудование </w:t>
      </w:r>
      <w:r>
        <w:rPr>
          <w:rFonts w:ascii="Times New Roman" w:hAnsi="Times New Roman"/>
          <w:sz w:val="28"/>
        </w:rPr>
        <w:t xml:space="preserve">центра </w:t>
      </w:r>
      <w:r>
        <w:rPr>
          <w:rFonts w:ascii="Times New Roman" w:hAnsi="Times New Roman"/>
          <w:sz w:val="28"/>
        </w:rPr>
        <w:t>«Точка роста»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 xml:space="preserve">сказала ученица 9 класса Врабие Анна. </w:t>
      </w:r>
    </w:p>
    <w:p w14:paraId="07000000">
      <w:pPr>
        <w:spacing w:after="0" w:line="24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</w:t>
      </w:r>
      <w:r>
        <w:rPr>
          <w:rFonts w:ascii="Times New Roman" w:hAnsi="Times New Roman"/>
          <w:sz w:val="28"/>
        </w:rPr>
        <w:t xml:space="preserve">   На уроках и внеурочных занятиях по физике завершается изучение тем: </w:t>
      </w:r>
      <w:r>
        <w:rPr>
          <w:rFonts w:ascii="Times New Roman" w:hAnsi="Times New Roman"/>
          <w:sz w:val="28"/>
        </w:rPr>
        <w:t xml:space="preserve"> «</w:t>
      </w:r>
      <w:r>
        <w:rPr>
          <w:rFonts w:ascii="Times New Roman" w:hAnsi="Times New Roman"/>
          <w:sz w:val="28"/>
        </w:rPr>
        <w:t>Электрический ток» (8 класс) и «Электромагнитные явления» (9 класс).</w:t>
      </w:r>
      <w:r>
        <w:rPr>
          <w:rFonts w:ascii="Times New Roman" w:hAnsi="Times New Roman"/>
          <w:sz w:val="28"/>
        </w:rPr>
        <w:t xml:space="preserve"> В ходе занятий используется компактное оборудование, отличающееся не только качеством, но и эстетическим видом.</w:t>
      </w:r>
    </w:p>
    <w:p w14:paraId="08000000">
      <w:pPr>
        <w:spacing w:after="0" w:line="24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- Я научилась собирать электрическую цепь, измерять силу тока и напряжение, сказала ученица 8 класса Бурова Полина.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     </w:t>
      </w:r>
    </w:p>
    <w:p w14:paraId="09000000">
      <w:pPr>
        <w:spacing w:after="0" w:line="24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С</w:t>
      </w:r>
      <w:r>
        <w:rPr>
          <w:rFonts w:ascii="Times New Roman" w:hAnsi="Times New Roman"/>
          <w:sz w:val="28"/>
        </w:rPr>
        <w:t xml:space="preserve"> 11 января </w:t>
      </w:r>
      <w:r>
        <w:rPr>
          <w:rFonts w:ascii="Times New Roman" w:hAnsi="Times New Roman"/>
          <w:sz w:val="28"/>
        </w:rPr>
        <w:t>на базе центра «Точка роста» проводятся</w:t>
      </w:r>
      <w:r>
        <w:rPr>
          <w:rFonts w:ascii="Times New Roman" w:hAnsi="Times New Roman"/>
          <w:sz w:val="28"/>
        </w:rPr>
        <w:t xml:space="preserve"> внеклассные мероприятия в рамках </w:t>
      </w:r>
      <w:r>
        <w:rPr>
          <w:rFonts w:ascii="Times New Roman" w:hAnsi="Times New Roman"/>
          <w:sz w:val="28"/>
        </w:rPr>
        <w:t xml:space="preserve">всероссийского классного часа </w:t>
      </w:r>
      <w:r>
        <w:rPr>
          <w:rFonts w:ascii="Times New Roman" w:hAnsi="Times New Roman"/>
          <w:sz w:val="28"/>
        </w:rPr>
        <w:t>«Запов</w:t>
      </w:r>
      <w:r>
        <w:rPr>
          <w:rFonts w:ascii="Times New Roman" w:hAnsi="Times New Roman"/>
          <w:sz w:val="28"/>
        </w:rPr>
        <w:t xml:space="preserve">едный урок»: </w:t>
      </w:r>
      <w:r>
        <w:rPr>
          <w:rFonts w:ascii="Times New Roman" w:hAnsi="Times New Roman"/>
          <w:sz w:val="28"/>
        </w:rPr>
        <w:t>интерактивные занятия</w:t>
      </w:r>
      <w:r>
        <w:rPr>
          <w:rFonts w:ascii="Times New Roman" w:hAnsi="Times New Roman"/>
          <w:sz w:val="28"/>
        </w:rPr>
        <w:t>, э</w:t>
      </w:r>
      <w:r>
        <w:rPr>
          <w:rFonts w:ascii="Times New Roman" w:hAnsi="Times New Roman"/>
          <w:sz w:val="28"/>
        </w:rPr>
        <w:t xml:space="preserve">кологические игры, просмотр и обсуждение видео сюжетов. </w:t>
      </w:r>
      <w:r>
        <w:rPr>
          <w:rFonts w:ascii="Times New Roman" w:hAnsi="Times New Roman"/>
          <w:sz w:val="28"/>
        </w:rPr>
        <w:t xml:space="preserve">Учителя и классные руководители используют оборудование центра: ноутбуки, принтер, мультимедийный проектор и </w:t>
      </w:r>
      <w:r>
        <w:rPr>
          <w:rFonts w:ascii="Times New Roman" w:hAnsi="Times New Roman"/>
          <w:sz w:val="28"/>
        </w:rPr>
        <w:t>др..</w:t>
      </w:r>
      <w:r>
        <w:rPr>
          <w:rFonts w:ascii="Times New Roman" w:hAnsi="Times New Roman"/>
          <w:sz w:val="28"/>
        </w:rPr>
        <w:t xml:space="preserve">     </w:t>
      </w:r>
    </w:p>
    <w:p w14:paraId="0A000000">
      <w:pPr>
        <w:spacing w:after="0" w:line="240" w:lineRule="auto"/>
        <w:ind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 xml:space="preserve">       П</w:t>
      </w:r>
      <w:r>
        <w:rPr>
          <w:rFonts w:ascii="Times New Roman" w:hAnsi="Times New Roman"/>
          <w:color w:themeColor="text1" w:val="000000"/>
          <w:sz w:val="28"/>
        </w:rPr>
        <w:t>родолжается региональная акция «Помощь зимующим птицам», а также  «Рождественские учёты зимующих птиц»</w:t>
      </w:r>
      <w:r>
        <w:rPr>
          <w:rFonts w:ascii="Times New Roman" w:hAnsi="Times New Roman"/>
          <w:color w:themeColor="text1" w:val="000000"/>
          <w:sz w:val="28"/>
        </w:rPr>
        <w:t xml:space="preserve"> </w:t>
      </w:r>
      <w:r>
        <w:rPr>
          <w:rFonts w:ascii="Times New Roman" w:hAnsi="Times New Roman"/>
          <w:sz w:val="28"/>
        </w:rPr>
        <w:t>(по заданию СОПРа и Мензбировского орнитологического общества). Отчёты оформляются в центе «Точка роста» и размещаются на сайте школы и в соцсетях.</w:t>
      </w:r>
    </w:p>
    <w:p w14:paraId="0B000000">
      <w:pPr>
        <w:spacing w:after="0" w:line="240" w:lineRule="auto"/>
        <w:ind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 xml:space="preserve">        На базе оборудования, имеющегося в «Точке роста», в течение зимних каникул оформлялся отчёт о результатах проекта «Дубрава Памяти». Отчёт составлен для конференции, которая состоится 25 января в усадьбе Кусково Московской области. Именно оттуда Юннаты первых получили посадочный материал для выращивания деревьев в память о знаменитых земляках.</w:t>
      </w:r>
    </w:p>
    <w:p w14:paraId="0C000000">
      <w:pPr>
        <w:spacing w:after="0" w:line="240" w:lineRule="auto"/>
        <w:ind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 xml:space="preserve">        </w:t>
      </w:r>
      <w:r>
        <w:rPr>
          <w:rFonts w:ascii="Times New Roman" w:hAnsi="Times New Roman"/>
          <w:color w:themeColor="text1" w:val="000000"/>
          <w:sz w:val="28"/>
        </w:rPr>
        <w:t>Экологическая деятельность связана с работой центра «Точка роста». В ходе проектно-исследовательской, просветительской и природоохранной деятельности используется</w:t>
      </w:r>
      <w:r>
        <w:rPr>
          <w:rFonts w:ascii="Times New Roman" w:hAnsi="Times New Roman"/>
          <w:color w:themeColor="text1" w:val="000000"/>
          <w:sz w:val="28"/>
        </w:rPr>
        <w:t xml:space="preserve"> совреме</w:t>
      </w:r>
      <w:r>
        <w:rPr>
          <w:rFonts w:ascii="Times New Roman" w:hAnsi="Times New Roman"/>
          <w:color w:themeColor="text1" w:val="000000"/>
          <w:sz w:val="28"/>
        </w:rPr>
        <w:t>нное цифровое оборудование, материалы</w:t>
      </w:r>
      <w:r>
        <w:rPr>
          <w:rFonts w:ascii="Times New Roman" w:hAnsi="Times New Roman"/>
          <w:color w:themeColor="text1" w:val="000000"/>
          <w:sz w:val="28"/>
        </w:rPr>
        <w:t xml:space="preserve">, </w:t>
      </w:r>
      <w:r>
        <w:rPr>
          <w:rFonts w:ascii="Times New Roman" w:hAnsi="Times New Roman"/>
          <w:color w:themeColor="text1" w:val="000000"/>
          <w:sz w:val="28"/>
        </w:rPr>
        <w:t xml:space="preserve">наглядные пособия. За активное участие в исследовательской деятельности, организованной в «Точке роста» в первом полугодии, благодарственными письмами администрации школы награждены обучающиеся 8 класса: Бурова Полина, Качарава Софья и Киладзе Мариам. </w:t>
      </w:r>
    </w:p>
    <w:p w14:paraId="0D000000">
      <w:pPr>
        <w:numPr>
          <w:numId w:val="2"/>
        </w:numPr>
        <w:spacing w:after="0" w:line="240" w:lineRule="auto"/>
        <w:ind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 xml:space="preserve">Всё это </w:t>
      </w:r>
      <w:r>
        <w:rPr>
          <w:rFonts w:ascii="Times New Roman" w:hAnsi="Times New Roman"/>
          <w:color w:themeColor="text1" w:val="000000"/>
          <w:sz w:val="28"/>
        </w:rPr>
        <w:t>способствует возрастанию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8"/>
        </w:rPr>
        <w:t>интереса к предметам естественнонаучного направления, приводит к улучшению качества знаний,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8"/>
        </w:rPr>
        <w:t xml:space="preserve">выбору </w:t>
      </w:r>
      <w:r>
        <w:rPr>
          <w:rFonts w:ascii="Times New Roman" w:hAnsi="Times New Roman"/>
          <w:color w:themeColor="text1" w:val="000000"/>
          <w:sz w:val="28"/>
        </w:rPr>
        <w:t xml:space="preserve">профессии, связанной с науками естественнонаучного направления, сказала руководитель центра «Точка роста» Н.И. Ядрова. </w:t>
      </w:r>
    </w:p>
    <w:p w14:paraId="0E000000">
      <w:pPr>
        <w:spacing w:after="0" w:line="240" w:lineRule="auto"/>
        <w:ind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sz w:val="28"/>
        </w:rPr>
        <w:t xml:space="preserve">  Ц</w:t>
      </w:r>
      <w:r>
        <w:rPr>
          <w:rFonts w:ascii="Times New Roman" w:hAnsi="Times New Roman"/>
          <w:sz w:val="28"/>
        </w:rPr>
        <w:t>ентр образования естественнонаучной и технологическо</w:t>
      </w:r>
      <w:r>
        <w:rPr>
          <w:rFonts w:ascii="Times New Roman" w:hAnsi="Times New Roman"/>
          <w:sz w:val="28"/>
        </w:rPr>
        <w:t xml:space="preserve">й направленностей "Точка роста" Ловчиковской школы </w:t>
      </w:r>
      <w:r>
        <w:rPr>
          <w:rFonts w:ascii="Times New Roman" w:hAnsi="Times New Roman"/>
          <w:sz w:val="28"/>
        </w:rPr>
        <w:t>функционирует в соответствии с планом</w:t>
      </w:r>
      <w:bookmarkStart w:id="1" w:name="_GoBack"/>
      <w:bookmarkEnd w:id="1"/>
      <w:r>
        <w:rPr>
          <w:rFonts w:ascii="Times New Roman" w:hAnsi="Times New Roman"/>
          <w:sz w:val="28"/>
        </w:rPr>
        <w:t xml:space="preserve">, разработанным для </w:t>
      </w:r>
      <w:r>
        <w:rPr>
          <w:rFonts w:ascii="Times New Roman" w:hAnsi="Times New Roman"/>
          <w:sz w:val="28"/>
        </w:rPr>
        <w:t>обеспечения реализации федерального проекта "Современна</w:t>
      </w:r>
      <w:r>
        <w:rPr>
          <w:rFonts w:ascii="Times New Roman" w:hAnsi="Times New Roman"/>
          <w:sz w:val="28"/>
        </w:rPr>
        <w:t>я школа" национального проекта «</w:t>
      </w:r>
      <w:r>
        <w:rPr>
          <w:rFonts w:ascii="Times New Roman" w:hAnsi="Times New Roman"/>
          <w:sz w:val="28"/>
        </w:rPr>
        <w:t>Образование»</w:t>
      </w:r>
      <w:r>
        <w:rPr>
          <w:rFonts w:ascii="Times New Roman" w:hAnsi="Times New Roman"/>
          <w:sz w:val="28"/>
        </w:rPr>
        <w:t>.</w:t>
      </w:r>
    </w:p>
    <w:p w14:paraId="0F000000">
      <w:pPr>
        <w:spacing w:after="0" w:line="240" w:lineRule="auto"/>
        <w:ind/>
        <w:jc w:val="both"/>
        <w:rPr>
          <w:rFonts w:ascii="Times New Roman" w:hAnsi="Times New Roman"/>
          <w:color w:themeColor="text1" w:val="000000"/>
          <w:sz w:val="28"/>
        </w:rPr>
      </w:pPr>
    </w:p>
    <w:p w14:paraId="10000000">
      <w:pPr>
        <w:spacing w:after="0" w:line="240" w:lineRule="auto"/>
        <w:ind/>
        <w:jc w:val="both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 xml:space="preserve">     </w:t>
      </w:r>
      <w:r>
        <w:drawing>
          <wp:inline>
            <wp:extent cx="2499360" cy="2057400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2499360" cy="205740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           </w:t>
      </w:r>
      <w:r>
        <w:drawing>
          <wp:inline>
            <wp:extent cx="1638300" cy="2225040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1638300" cy="222504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1000000">
      <w:pPr>
        <w:spacing w:after="0" w:line="240" w:lineRule="auto"/>
        <w:ind/>
        <w:jc w:val="both"/>
        <w:rPr>
          <w:rFonts w:ascii="Times New Roman" w:hAnsi="Times New Roman"/>
          <w:color w:themeColor="text1" w:val="000000"/>
          <w:sz w:val="28"/>
        </w:rPr>
      </w:pPr>
    </w:p>
    <w:p w14:paraId="12000000">
      <w:pPr>
        <w:spacing w:after="0" w:line="240" w:lineRule="auto"/>
        <w:ind/>
        <w:jc w:val="both"/>
        <w:rPr>
          <w:rFonts w:ascii="Times New Roman" w:hAnsi="Times New Roman"/>
          <w:color w:themeColor="text1" w:val="000000"/>
          <w:sz w:val="28"/>
        </w:rPr>
      </w:pPr>
    </w:p>
    <w:p w14:paraId="13000000">
      <w:pPr>
        <w:spacing w:after="0" w:line="360" w:lineRule="auto"/>
        <w:ind/>
        <w:jc w:val="both"/>
        <w:rPr>
          <w:rFonts w:ascii="Times New Roman" w:hAnsi="Times New Roman"/>
          <w:color w:themeColor="text1" w:val="000000"/>
          <w:sz w:val="28"/>
        </w:rPr>
      </w:pPr>
    </w:p>
    <w:p w14:paraId="14000000">
      <w:pPr>
        <w:spacing w:after="0" w:line="360" w:lineRule="auto"/>
        <w:ind/>
        <w:jc w:val="both"/>
        <w:rPr>
          <w:rFonts w:ascii="Times New Roman" w:hAnsi="Times New Roman"/>
          <w:sz w:val="28"/>
        </w:rPr>
      </w:pPr>
      <w:r>
        <w:drawing>
          <wp:inline>
            <wp:extent cx="2781300" cy="2202180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2781300" cy="220218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    </w:t>
      </w:r>
      <w:r>
        <w:drawing>
          <wp:inline>
            <wp:extent cx="2118360" cy="2164080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2118360" cy="216408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5000000">
      <w:pPr>
        <w:ind/>
        <w:jc w:val="both"/>
        <w:rPr>
          <w:rFonts w:ascii="Times New Roman" w:hAnsi="Times New Roman"/>
          <w:sz w:val="28"/>
        </w:rPr>
      </w:pPr>
    </w:p>
    <w:sectPr>
      <w:pgSz w:h="16838" w:orient="portrait" w:w="11906"/>
      <w:pgMar w:bottom="1134" w:footer="708" w:gutter="0" w:header="708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1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</w:style>
  <w:style w:default="1" w:styleId="Style_1_ch" w:type="character">
    <w:name w:val="Normal"/>
    <w:link w:val="Style_1"/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toc 3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link w:val="Style_7"/>
    <w:rPr>
      <w:rFonts w:ascii="XO Thames" w:hAnsi="XO Thames"/>
      <w:sz w:val="28"/>
    </w:rPr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link w:val="Style_8"/>
    <w:rPr>
      <w:rFonts w:ascii="XO Thames" w:hAnsi="XO Thames"/>
      <w:b w:val="1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Default Paragraph Font"/>
    <w:link w:val="Style_14_ch"/>
  </w:style>
  <w:style w:styleId="Style_14_ch" w:type="character">
    <w:name w:val="Default Paragraph Font"/>
    <w:link w:val="Style_14"/>
  </w:style>
  <w:style w:styleId="Style_15" w:type="paragraph">
    <w:name w:val="toc 9"/>
    <w:next w:val="Style_1"/>
    <w:link w:val="Style_15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5_ch" w:type="character">
    <w:name w:val="toc 9"/>
    <w:link w:val="Style_15"/>
    <w:rPr>
      <w:rFonts w:ascii="XO Thames" w:hAnsi="XO Thames"/>
      <w:sz w:val="28"/>
    </w:rPr>
  </w:style>
  <w:style w:styleId="Style_16" w:type="paragraph">
    <w:name w:val="toc 8"/>
    <w:next w:val="Style_1"/>
    <w:link w:val="Style_16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6_ch" w:type="character">
    <w:name w:val="toc 8"/>
    <w:link w:val="Style_16"/>
    <w:rPr>
      <w:rFonts w:ascii="XO Thames" w:hAnsi="XO Thames"/>
      <w:sz w:val="28"/>
    </w:rPr>
  </w:style>
  <w:style w:styleId="Style_17" w:type="paragraph">
    <w:name w:val="toc 5"/>
    <w:next w:val="Style_1"/>
    <w:link w:val="Style_17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7_ch" w:type="character">
    <w:name w:val="toc 5"/>
    <w:link w:val="Style_17"/>
    <w:rPr>
      <w:rFonts w:ascii="XO Thames" w:hAnsi="XO Thames"/>
      <w:sz w:val="28"/>
    </w:rPr>
  </w:style>
  <w:style w:styleId="Style_18" w:type="paragraph">
    <w:name w:val="Subtitle"/>
    <w:next w:val="Style_1"/>
    <w:link w:val="Style_18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8_ch" w:type="character">
    <w:name w:val="Subtitle"/>
    <w:link w:val="Style_18"/>
    <w:rPr>
      <w:rFonts w:ascii="XO Thames" w:hAnsi="XO Thames"/>
      <w:i w:val="1"/>
      <w:sz w:val="24"/>
    </w:rPr>
  </w:style>
  <w:style w:styleId="Style_19" w:type="paragraph">
    <w:name w:val="Title"/>
    <w:next w:val="Style_1"/>
    <w:link w:val="Style_19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9_ch" w:type="character">
    <w:name w:val="Title"/>
    <w:link w:val="Style_19"/>
    <w:rPr>
      <w:rFonts w:ascii="XO Thames" w:hAnsi="XO Thames"/>
      <w:b w:val="1"/>
      <w:caps w:val="1"/>
      <w:sz w:val="40"/>
    </w:rPr>
  </w:style>
  <w:style w:styleId="Style_20" w:type="paragraph">
    <w:name w:val="heading 4"/>
    <w:next w:val="Style_1"/>
    <w:link w:val="Style_20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0_ch" w:type="character">
    <w:name w:val="heading 4"/>
    <w:link w:val="Style_20"/>
    <w:rPr>
      <w:rFonts w:ascii="XO Thames" w:hAnsi="XO Thames"/>
      <w:b w:val="1"/>
      <w:sz w:val="24"/>
    </w:rPr>
  </w:style>
  <w:style w:styleId="Style_21" w:type="paragraph">
    <w:name w:val="heading 2"/>
    <w:next w:val="Style_1"/>
    <w:link w:val="Style_21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1_ch" w:type="character">
    <w:name w:val="heading 2"/>
    <w:link w:val="Style_21"/>
    <w:rPr>
      <w:rFonts w:ascii="XO Thames" w:hAnsi="XO Thames"/>
      <w:b w:val="1"/>
      <w:sz w:val="28"/>
    </w:rPr>
  </w:style>
  <w:style w:default="1" w:styleId="Style_2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numbering.xml" Type="http://schemas.openxmlformats.org/officeDocument/2006/relationships/numbering"/>
  <Relationship Id="rId10" Target="theme/theme1.xml" Type="http://schemas.openxmlformats.org/officeDocument/2006/relationships/theme"/>
  <Relationship Id="rId7" Target="styles.xml" Type="http://schemas.openxmlformats.org/officeDocument/2006/relationships/styles"/>
  <Relationship Id="rId6" Target="settings.xml" Type="http://schemas.openxmlformats.org/officeDocument/2006/relationships/settings"/>
  <Relationship Id="rId9" Target="webSettings.xml" Type="http://schemas.openxmlformats.org/officeDocument/2006/relationships/webSettings"/>
  <Relationship Id="rId5" Target="fontTable.xml" Type="http://schemas.openxmlformats.org/officeDocument/2006/relationships/fontTable"/>
  <Relationship Id="rId8" Target="stylesWithEffects.xml" Type="http://schemas.microsoft.com/office/2007/relationships/stylesWithEffects"/>
  <Relationship Id="rId4" Target="media/4.png" Type="http://schemas.openxmlformats.org/officeDocument/2006/relationships/image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MyOffice-CoreFramework-Windows/25-982.666.6545.616.0@RELEASE-DESKTOP-WASSABI_HOME-RC-RENEW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2025-02-11T21:47:15Z</dcterms:modified>
</cp:coreProperties>
</file>