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</w:t>
      </w:r>
      <w:r>
        <w:rPr>
          <w:rFonts w:ascii="Times New Roman" w:hAnsi="Times New Roman"/>
          <w:sz w:val="28"/>
        </w:rPr>
        <w:t xml:space="preserve">Во второй половине января ученики 5-9 классов </w:t>
      </w:r>
      <w:r>
        <w:rPr>
          <w:rFonts w:ascii="Times New Roman" w:hAnsi="Times New Roman"/>
          <w:sz w:val="28"/>
        </w:rPr>
        <w:t>Ловчиковской</w:t>
      </w:r>
      <w:r>
        <w:rPr>
          <w:rFonts w:ascii="Times New Roman" w:hAnsi="Times New Roman"/>
          <w:sz w:val="28"/>
        </w:rPr>
        <w:t xml:space="preserve"> школы прод</w:t>
      </w:r>
      <w:r>
        <w:rPr>
          <w:rFonts w:ascii="Times New Roman" w:hAnsi="Times New Roman"/>
          <w:sz w:val="28"/>
        </w:rPr>
        <w:t>олжали занятия в «Точке роста» естественнонаучной направленности.</w:t>
      </w:r>
    </w:p>
    <w:p w14:paraId="02000000">
      <w:pPr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На уроках химии в 8 классе ребята заканчивали изучение в</w:t>
      </w:r>
      <w:r>
        <w:rPr>
          <w:rFonts w:ascii="Times New Roman" w:hAnsi="Times New Roman"/>
          <w:color w:val="231F20"/>
          <w:sz w:val="28"/>
        </w:rPr>
        <w:t xml:space="preserve">ажнейших неорганических веществ. </w:t>
      </w:r>
      <w:r>
        <w:rPr>
          <w:rFonts w:ascii="Times New Roman" w:hAnsi="Times New Roman"/>
          <w:sz w:val="28"/>
        </w:rPr>
        <w:t xml:space="preserve">Проведены опыты: </w:t>
      </w:r>
      <w:r>
        <w:rPr>
          <w:rFonts w:ascii="Times New Roman" w:hAnsi="Times New Roman"/>
          <w:sz w:val="28"/>
        </w:rPr>
        <w:t>«О</w:t>
      </w:r>
      <w:r>
        <w:rPr>
          <w:rFonts w:ascii="Times New Roman" w:hAnsi="Times New Roman"/>
          <w:sz w:val="28"/>
        </w:rPr>
        <w:t>знакомление с препаратами школьной аптечки»,</w:t>
      </w:r>
      <w:r>
        <w:rPr>
          <w:rFonts w:ascii="Times New Roman" w:hAnsi="Times New Roman"/>
          <w:sz w:val="28"/>
        </w:rPr>
        <w:t xml:space="preserve"> «</w:t>
      </w:r>
      <w:r>
        <w:rPr>
          <w:rFonts w:ascii="Times New Roman" w:hAnsi="Times New Roman"/>
          <w:sz w:val="28"/>
        </w:rPr>
        <w:t xml:space="preserve">Взаимодействие оксида кальция с водой» и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>Помутнение известковой воды».</w:t>
      </w:r>
      <w:r>
        <w:rPr>
          <w:rFonts w:ascii="Times New Roman" w:hAnsi="Times New Roman"/>
          <w:sz w:val="28"/>
        </w:rPr>
        <w:t xml:space="preserve"> На внеурочных занятиях школьники повторили правила нагревания, отрабатывали технику получения и собирания кислорода методом вытеснения воздуха.</w:t>
      </w:r>
    </w:p>
    <w:p w14:paraId="03000000">
      <w:pPr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</w:t>
      </w:r>
      <w:r>
        <w:rPr>
          <w:rFonts w:ascii="Times New Roman" w:hAnsi="Times New Roman"/>
          <w:sz w:val="28"/>
        </w:rPr>
        <w:t>В 9 классе школьники изучали способы получения неметаллов.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В ходе занятия </w:t>
      </w:r>
      <w:r>
        <w:rPr>
          <w:rFonts w:ascii="Times New Roman" w:hAnsi="Times New Roman"/>
          <w:sz w:val="28"/>
        </w:rPr>
        <w:t>проведена демонстрация «</w:t>
      </w:r>
      <w:r>
        <w:rPr>
          <w:rFonts w:ascii="Times New Roman" w:hAnsi="Times New Roman"/>
          <w:sz w:val="28"/>
        </w:rPr>
        <w:t>Пол</w:t>
      </w:r>
      <w:r>
        <w:rPr>
          <w:rFonts w:ascii="Times New Roman" w:hAnsi="Times New Roman"/>
          <w:sz w:val="28"/>
        </w:rPr>
        <w:t>учение белого фосфора</w:t>
      </w:r>
      <w:r>
        <w:rPr>
          <w:rFonts w:ascii="Times New Roman" w:hAnsi="Times New Roman"/>
          <w:sz w:val="28"/>
        </w:rPr>
        <w:t xml:space="preserve"> и его горение</w:t>
      </w:r>
      <w:r>
        <w:rPr>
          <w:rFonts w:ascii="Times New Roman" w:hAnsi="Times New Roman"/>
          <w:sz w:val="28"/>
        </w:rPr>
        <w:t xml:space="preserve">». </w:t>
      </w:r>
    </w:p>
    <w:p w14:paraId="04000000">
      <w:pPr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</w:t>
      </w:r>
      <w:r>
        <w:rPr>
          <w:rFonts w:ascii="Times New Roman" w:hAnsi="Times New Roman"/>
          <w:sz w:val="28"/>
        </w:rPr>
        <w:t xml:space="preserve">- Я узнал, что существует несколько </w:t>
      </w:r>
      <w:r>
        <w:rPr>
          <w:rFonts w:ascii="Times New Roman" w:hAnsi="Times New Roman"/>
          <w:sz w:val="28"/>
        </w:rPr>
        <w:t>мод</w:t>
      </w:r>
      <w:r>
        <w:rPr>
          <w:rFonts w:ascii="Times New Roman" w:hAnsi="Times New Roman"/>
          <w:sz w:val="28"/>
        </w:rPr>
        <w:t>ификаций фосфора, что из красного фосфора путём нагревания можно получить белый фосфор, который загорается от трения с воздухом и превращается в о</w:t>
      </w:r>
      <w:r>
        <w:rPr>
          <w:rFonts w:ascii="Times New Roman" w:hAnsi="Times New Roman"/>
          <w:sz w:val="28"/>
        </w:rPr>
        <w:t>ксид, сказала ученица 9 класса Лебедева Елизавета</w:t>
      </w:r>
      <w:r>
        <w:rPr>
          <w:rFonts w:ascii="Times New Roman" w:hAnsi="Times New Roman"/>
          <w:sz w:val="28"/>
        </w:rPr>
        <w:t>.</w:t>
      </w:r>
    </w:p>
    <w:p w14:paraId="05000000">
      <w:pPr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На занятиях по физике </w:t>
      </w:r>
      <w:r>
        <w:rPr>
          <w:rFonts w:ascii="Times New Roman" w:hAnsi="Times New Roman"/>
          <w:sz w:val="28"/>
        </w:rPr>
        <w:t xml:space="preserve">ученики 8 класса учились собирать и разбирать электрическую цепь, а обучающиеся 9 класса на уроках изучали тему «Магнитное поле». Для лучшего усвоения учебного материала применялось необходимое оборудование, которым снабжён кабинет физики. </w:t>
      </w:r>
    </w:p>
    <w:p w14:paraId="06000000">
      <w:pPr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На уроках </w:t>
      </w:r>
      <w:r>
        <w:rPr>
          <w:rFonts w:ascii="Times New Roman" w:hAnsi="Times New Roman"/>
          <w:sz w:val="28"/>
        </w:rPr>
        <w:t xml:space="preserve">биологии в 5 классе школьники изучали тему «Бактерии и вирусы», а на внеурочном занятии проводилась обобщающая игра «Знатоки живых организмов». Обучающиеся 6 класса изучали генеративные органы растений и работали с коллекцией «Типы плодов и способы их распространения». На внеурочных занятиях  </w:t>
      </w:r>
      <w:r>
        <w:rPr>
          <w:rFonts w:ascii="Times New Roman" w:hAnsi="Times New Roman"/>
          <w:sz w:val="28"/>
        </w:rPr>
        <w:t>заложили опыт</w:t>
      </w:r>
      <w:r>
        <w:rPr>
          <w:rFonts w:ascii="Times New Roman" w:hAnsi="Times New Roman"/>
          <w:sz w:val="28"/>
        </w:rPr>
        <w:t>ы</w:t>
      </w:r>
      <w:r>
        <w:rPr>
          <w:rFonts w:ascii="Times New Roman" w:hAnsi="Times New Roman"/>
          <w:sz w:val="28"/>
        </w:rPr>
        <w:t xml:space="preserve"> для проверки гипотезы о влиянии удобрений на рост и развитие пшеницы. Использовалась лабораторная посуда, электронные весы и удобрения.</w:t>
      </w:r>
    </w:p>
    <w:p w14:paraId="07000000">
      <w:pPr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–</w:t>
      </w:r>
      <w:r>
        <w:rPr>
          <w:rFonts w:ascii="Times New Roman" w:hAnsi="Times New Roman"/>
          <w:sz w:val="28"/>
        </w:rPr>
        <w:t xml:space="preserve"> В ходе опыта мы выясним, как влияют удобрения на рост и развитие проростков, а также какие удобрения самые лучшие</w:t>
      </w:r>
      <w:r>
        <w:rPr>
          <w:rFonts w:ascii="Times New Roman" w:hAnsi="Times New Roman"/>
          <w:sz w:val="28"/>
        </w:rPr>
        <w:t>, выразил надежду</w:t>
      </w:r>
      <w:r>
        <w:rPr>
          <w:rFonts w:ascii="Times New Roman" w:hAnsi="Times New Roman"/>
          <w:sz w:val="28"/>
        </w:rPr>
        <w:t xml:space="preserve"> Василий Кусик. </w:t>
      </w:r>
    </w:p>
    <w:p w14:paraId="08000000">
      <w:pPr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Опытническая работа заинтересовала и восьмиклассников. Они помогли разработать методику эксперимента, приготовили растворы. В ходе закладки опыта обучающиеся повторили, как правильно взять навеску вещества и взвесить её на электронных весах.</w:t>
      </w:r>
    </w:p>
    <w:p w14:paraId="09000000">
      <w:pPr>
        <w:spacing w:after="0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Ученики 8 класса на уроках изучают животных. Во второй половине января они изучили особенности строения и развития представителей типа мягкотелых (моллюсков). Благодаря мультимедийному оборудованию  удалось посмотреть увлекательный видеофрагмент о морских головоногих моллюсках</w:t>
      </w:r>
      <w:r>
        <w:rPr>
          <w:rFonts w:ascii="Times New Roman" w:hAnsi="Times New Roman"/>
          <w:sz w:val="28"/>
        </w:rPr>
        <w:t>.</w:t>
      </w:r>
    </w:p>
    <w:p w14:paraId="0A000000">
      <w:pPr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– Я узнал, что наутилусы плавают раковиной вперёд, а каракатица маскируется во время опасности, зарываясь в песок, сказал ученик 8 класса Суетов Максим</w:t>
      </w:r>
      <w:r>
        <w:rPr>
          <w:rFonts w:ascii="Times New Roman" w:hAnsi="Times New Roman"/>
          <w:sz w:val="28"/>
        </w:rPr>
        <w:t xml:space="preserve">. </w:t>
      </w:r>
    </w:p>
    <w:p w14:paraId="0B000000">
      <w:pPr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В «Точке роста» в период с 11 по 17 января проводились мероприятия в рамках Всероссийского классного часа «Заповедный урок»: игра «ЭКОбинго», квест «Экологическая мишень», урок-исследование «Пластик на благо природы». Использовались лабораторная посуда, химические вещества, коллекция пластиковых изделий с различной маркировкой, а также предметы, произведённые в ходе вторичной переработки. </w:t>
      </w:r>
    </w:p>
    <w:p w14:paraId="0C000000">
      <w:pPr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Выполняя программу дополнительного образования, в «Точке роста» подводились итоги </w:t>
      </w:r>
      <w:r>
        <w:rPr>
          <w:rFonts w:ascii="Times New Roman" w:hAnsi="Times New Roman"/>
          <w:sz w:val="28"/>
        </w:rPr>
        <w:t>Рожде</w:t>
      </w:r>
      <w:r>
        <w:rPr>
          <w:rFonts w:ascii="Times New Roman" w:hAnsi="Times New Roman"/>
          <w:sz w:val="28"/>
        </w:rPr>
        <w:t>ственских учётов зимующих пти</w:t>
      </w:r>
      <w:r>
        <w:rPr>
          <w:rFonts w:ascii="Times New Roman" w:hAnsi="Times New Roman"/>
          <w:sz w:val="28"/>
        </w:rPr>
        <w:t xml:space="preserve">ц, оформлялись результаты, которые были отправлены 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по электронной почте координаторам </w:t>
      </w:r>
      <w:r>
        <w:rPr>
          <w:rFonts w:ascii="Times New Roman" w:hAnsi="Times New Roman"/>
          <w:sz w:val="28"/>
        </w:rPr>
        <w:t>проекта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(</w:t>
      </w:r>
      <w:r>
        <w:rPr>
          <w:rStyle w:val="Style_1_ch"/>
          <w:rFonts w:ascii="Times New Roman" w:hAnsi="Times New Roman"/>
          <w:sz w:val="28"/>
          <w:u w:val="none"/>
        </w:rPr>
        <w:fldChar w:fldCharType="begin"/>
      </w:r>
      <w:r>
        <w:rPr>
          <w:rStyle w:val="Style_1_ch"/>
          <w:rFonts w:ascii="Times New Roman" w:hAnsi="Times New Roman"/>
          <w:sz w:val="28"/>
          <w:u w:val="none"/>
        </w:rPr>
        <w:instrText>HYPERLINK "mailto:sopr@mail.ru"</w:instrText>
      </w:r>
      <w:r>
        <w:rPr>
          <w:rStyle w:val="Style_1_ch"/>
          <w:rFonts w:ascii="Times New Roman" w:hAnsi="Times New Roman"/>
          <w:sz w:val="28"/>
          <w:u w:val="none"/>
        </w:rPr>
        <w:fldChar w:fldCharType="separate"/>
      </w:r>
      <w:r>
        <w:rPr>
          <w:rStyle w:val="Style_1_ch"/>
          <w:rFonts w:ascii="Times New Roman" w:hAnsi="Times New Roman"/>
          <w:sz w:val="28"/>
          <w:u w:val="none"/>
        </w:rPr>
        <w:t>sopr</w:t>
      </w:r>
      <w:r>
        <w:rPr>
          <w:rStyle w:val="Style_1_ch"/>
          <w:rFonts w:ascii="Times New Roman" w:hAnsi="Times New Roman"/>
          <w:sz w:val="28"/>
          <w:u w:val="none"/>
        </w:rPr>
        <w:t>@</w:t>
      </w:r>
      <w:r>
        <w:rPr>
          <w:rStyle w:val="Style_1_ch"/>
          <w:rFonts w:ascii="Times New Roman" w:hAnsi="Times New Roman"/>
          <w:sz w:val="28"/>
          <w:u w:val="none"/>
        </w:rPr>
        <w:t>mail</w:t>
      </w:r>
      <w:r>
        <w:rPr>
          <w:rStyle w:val="Style_1_ch"/>
          <w:rFonts w:ascii="Times New Roman" w:hAnsi="Times New Roman"/>
          <w:sz w:val="28"/>
          <w:u w:val="none"/>
        </w:rPr>
        <w:t>.</w:t>
      </w:r>
      <w:r>
        <w:rPr>
          <w:rStyle w:val="Style_1_ch"/>
          <w:rFonts w:ascii="Times New Roman" w:hAnsi="Times New Roman"/>
          <w:sz w:val="28"/>
          <w:u w:val="none"/>
        </w:rPr>
        <w:t>ru</w:t>
      </w:r>
      <w:r>
        <w:rPr>
          <w:rStyle w:val="Style_1_ch"/>
          <w:rFonts w:ascii="Times New Roman" w:hAnsi="Times New Roman"/>
          <w:sz w:val="28"/>
          <w:u w:val="none"/>
        </w:rPr>
        <w:fldChar w:fldCharType="end"/>
      </w:r>
      <w:r>
        <w:rPr>
          <w:rStyle w:val="Style_1_ch"/>
          <w:rFonts w:ascii="Times New Roman" w:hAnsi="Times New Roman"/>
          <w:color w:val="000000"/>
          <w:sz w:val="28"/>
          <w:u w:val="none"/>
        </w:rPr>
        <w:t>).</w:t>
      </w:r>
      <w:r>
        <w:rPr>
          <w:rStyle w:val="Style_1_ch"/>
          <w:rFonts w:ascii="Times New Roman" w:hAnsi="Times New Roman"/>
          <w:color w:val="000000"/>
          <w:sz w:val="28"/>
          <w:u w:val="none"/>
        </w:rPr>
        <w:t xml:space="preserve"> В данном мероприятии приняли участие </w:t>
      </w:r>
      <w:r>
        <w:rPr>
          <w:rStyle w:val="Style_1_ch"/>
          <w:rFonts w:ascii="Times New Roman" w:hAnsi="Times New Roman"/>
          <w:color w:val="000000"/>
          <w:sz w:val="28"/>
          <w:u w:val="none"/>
        </w:rPr>
        <w:t xml:space="preserve"> 19 школьников</w:t>
      </w:r>
      <w:bookmarkStart w:id="1" w:name="_GoBack"/>
      <w:bookmarkEnd w:id="1"/>
      <w:r>
        <w:rPr>
          <w:rStyle w:val="Style_1_ch"/>
          <w:rFonts w:ascii="Times New Roman" w:hAnsi="Times New Roman"/>
          <w:color w:val="000000"/>
          <w:sz w:val="28"/>
          <w:u w:val="none"/>
        </w:rPr>
        <w:t>.</w:t>
      </w:r>
    </w:p>
    <w:p w14:paraId="0D000000">
      <w:pPr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29 января завершена исследовательско-проектная работа ученицы 8 класса Буровой Полины «Разработка паспорта экологической тропы биоценоза Ловчиковского леса», которая отправлена на областной конкурс «Подрост». </w:t>
      </w:r>
    </w:p>
    <w:p w14:paraId="0E000000">
      <w:pPr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Преподаватели, обучающие школьников в «Точке роста», продолжают повышать свой профессиональный уровень: они были активными слушателями в ходе регионального вебинара </w:t>
      </w:r>
      <w:r>
        <w:rPr>
          <w:rFonts w:ascii="Times New Roman" w:hAnsi="Times New Roman"/>
          <w:sz w:val="28"/>
        </w:rPr>
        <w:t xml:space="preserve"> «Лучшие практики подготовки учащихся к итоговой аттестации по биологии и химии на основе анализа результатов оценочных процедур» 23 января.</w:t>
      </w:r>
    </w:p>
    <w:p w14:paraId="0F000000">
      <w:pPr>
        <w:numPr>
          <w:numId w:val="1"/>
        </w:numPr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Вторая половина января оказалась плодотворной.</w:t>
      </w:r>
      <w:r>
        <w:rPr>
          <w:rFonts w:ascii="Times New Roman" w:hAnsi="Times New Roman"/>
          <w:sz w:val="28"/>
        </w:rPr>
        <w:t>Удалось провести все запланированные мероприятия, заложить новые опыты и продолжить исследовательскую деятельность, которая является важнейшей из всех видов деятельности в «Точке роста», сказала руководитель образовательного центра Н.И. Ядрова.</w:t>
      </w:r>
    </w:p>
    <w:p w14:paraId="10000000">
      <w:pPr>
        <w:ind/>
        <w:jc w:val="both"/>
        <w:rPr>
          <w:rFonts w:ascii="Times New Roman" w:hAnsi="Times New Roman"/>
          <w:sz w:val="28"/>
        </w:rPr>
      </w:pPr>
      <w:r>
        <w:drawing>
          <wp:inline>
            <wp:extent cx="3329940" cy="1821179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3329940" cy="1821179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    </w:t>
      </w:r>
      <w:r>
        <w:drawing>
          <wp:inline>
            <wp:extent cx="1844040" cy="2255520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1844040" cy="22555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1000000">
      <w:pPr>
        <w:ind/>
        <w:jc w:val="both"/>
        <w:rPr>
          <w:rFonts w:ascii="Times New Roman" w:hAnsi="Times New Roman"/>
          <w:sz w:val="28"/>
        </w:rPr>
      </w:pPr>
    </w:p>
    <w:p w14:paraId="12000000">
      <w:pPr>
        <w:ind/>
        <w:jc w:val="both"/>
        <w:rPr>
          <w:rFonts w:ascii="Times New Roman" w:hAnsi="Times New Roman"/>
          <w:sz w:val="28"/>
        </w:rPr>
      </w:pPr>
      <w:r>
        <w:drawing>
          <wp:inline>
            <wp:extent cx="2651760" cy="213360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2651760" cy="213360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</w:t>
      </w:r>
      <w:r>
        <w:drawing>
          <wp:inline>
            <wp:extent cx="3009900" cy="224790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3009900" cy="22479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3000000">
      <w:pPr>
        <w:ind/>
        <w:jc w:val="both"/>
        <w:rPr>
          <w:rFonts w:ascii="Times New Roman" w:hAnsi="Times New Roman"/>
          <w:sz w:val="28"/>
        </w:rPr>
      </w:pPr>
    </w:p>
    <w:p w14:paraId="14000000">
      <w:pPr>
        <w:ind/>
        <w:jc w:val="center"/>
        <w:rPr>
          <w:rFonts w:ascii="Times New Roman" w:hAnsi="Times New Roman"/>
          <w:sz w:val="28"/>
        </w:rPr>
      </w:pPr>
      <w:r>
        <w:drawing>
          <wp:inline>
            <wp:extent cx="1790700" cy="246888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1790700" cy="246888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         </w:t>
      </w:r>
      <w:r>
        <w:drawing>
          <wp:inline>
            <wp:extent cx="3299460" cy="182880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3299460" cy="18288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5000000">
      <w:pPr>
        <w:ind/>
        <w:jc w:val="center"/>
        <w:rPr>
          <w:rFonts w:ascii="Times New Roman" w:hAnsi="Times New Roman"/>
          <w:sz w:val="28"/>
        </w:rPr>
      </w:pPr>
    </w:p>
    <w:p w14:paraId="16000000">
      <w:pPr>
        <w:ind/>
        <w:jc w:val="center"/>
        <w:rPr>
          <w:rFonts w:ascii="Times New Roman" w:hAnsi="Times New Roman"/>
          <w:sz w:val="28"/>
        </w:rPr>
      </w:pPr>
    </w:p>
    <w:p w14:paraId="17000000">
      <w:pPr>
        <w:ind/>
        <w:jc w:val="both"/>
        <w:rPr>
          <w:rFonts w:ascii="Times New Roman" w:hAnsi="Times New Roman"/>
          <w:sz w:val="28"/>
        </w:rPr>
      </w:pPr>
    </w:p>
    <w:p w14:paraId="18000000">
      <w:pPr>
        <w:ind/>
        <w:jc w:val="both"/>
        <w:rPr>
          <w:rFonts w:ascii="Times New Roman" w:hAnsi="Times New Roman"/>
          <w:sz w:val="28"/>
        </w:rPr>
      </w:pPr>
    </w:p>
    <w:p w14:paraId="19000000">
      <w:pPr>
        <w:ind/>
        <w:jc w:val="both"/>
        <w:rPr>
          <w:rFonts w:ascii="Times New Roman" w:hAnsi="Times New Roman"/>
          <w:sz w:val="28"/>
        </w:rPr>
      </w:pPr>
    </w:p>
    <w:p w14:paraId="1A000000">
      <w:pPr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</w:t>
      </w:r>
    </w:p>
    <w:p w14:paraId="1B000000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</w:t>
      </w:r>
    </w:p>
    <w:p w14:paraId="1C000000">
      <w:pPr>
        <w:rPr>
          <w:rFonts w:ascii="Times New Roman" w:hAnsi="Times New Roman"/>
          <w:sz w:val="24"/>
        </w:rPr>
      </w:pPr>
    </w:p>
    <w:p w14:paraId="1D000000"/>
    <w:sectPr>
      <w:pgSz w:h="16838" w:orient="portrait" w:w="11906"/>
      <w:pgMar w:bottom="1134" w:footer="708" w:gutter="0" w:header="708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num w:numId="1">
    <w:abstractNumId w:val="0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2" w:type="paragraph">
    <w:name w:val="Normal"/>
    <w:link w:val="Style_2_ch"/>
    <w:uiPriority w:val="0"/>
    <w:qFormat/>
  </w:style>
  <w:style w:default="1" w:styleId="Style_2_ch" w:type="character">
    <w:name w:val="Normal"/>
    <w:link w:val="Style_2"/>
  </w:style>
  <w:style w:styleId="Style_3" w:type="paragraph">
    <w:name w:val="toc 2"/>
    <w:next w:val="Style_2"/>
    <w:link w:val="Style_3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3_ch" w:type="character">
    <w:name w:val="toc 2"/>
    <w:link w:val="Style_3"/>
    <w:rPr>
      <w:rFonts w:ascii="XO Thames" w:hAnsi="XO Thames"/>
      <w:sz w:val="28"/>
    </w:rPr>
  </w:style>
  <w:style w:styleId="Style_4" w:type="paragraph">
    <w:name w:val="toc 4"/>
    <w:next w:val="Style_2"/>
    <w:link w:val="Style_4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4_ch" w:type="character">
    <w:name w:val="toc 4"/>
    <w:link w:val="Style_4"/>
    <w:rPr>
      <w:rFonts w:ascii="XO Thames" w:hAnsi="XO Thames"/>
      <w:sz w:val="28"/>
    </w:rPr>
  </w:style>
  <w:style w:styleId="Style_5" w:type="paragraph">
    <w:name w:val="toc 6"/>
    <w:next w:val="Style_2"/>
    <w:link w:val="Style_5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5_ch" w:type="character">
    <w:name w:val="toc 6"/>
    <w:link w:val="Style_5"/>
    <w:rPr>
      <w:rFonts w:ascii="XO Thames" w:hAnsi="XO Thames"/>
      <w:sz w:val="28"/>
    </w:rPr>
  </w:style>
  <w:style w:styleId="Style_6" w:type="paragraph">
    <w:name w:val="toc 7"/>
    <w:next w:val="Style_2"/>
    <w:link w:val="Style_6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6_ch" w:type="character">
    <w:name w:val="toc 7"/>
    <w:link w:val="Style_6"/>
    <w:rPr>
      <w:rFonts w:ascii="XO Thames" w:hAnsi="XO Thames"/>
      <w:sz w:val="28"/>
    </w:rPr>
  </w:style>
  <w:style w:styleId="Style_7" w:type="paragraph">
    <w:name w:val="heading 3"/>
    <w:next w:val="Style_2"/>
    <w:link w:val="Style_7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7_ch" w:type="character">
    <w:name w:val="heading 3"/>
    <w:link w:val="Style_7"/>
    <w:rPr>
      <w:rFonts w:ascii="XO Thames" w:hAnsi="XO Thames"/>
      <w:b w:val="1"/>
      <w:sz w:val="26"/>
    </w:rPr>
  </w:style>
  <w:style w:styleId="Style_8" w:type="paragraph">
    <w:name w:val="toc 3"/>
    <w:next w:val="Style_2"/>
    <w:link w:val="Style_8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8_ch" w:type="character">
    <w:name w:val="toc 3"/>
    <w:link w:val="Style_8"/>
    <w:rPr>
      <w:rFonts w:ascii="XO Thames" w:hAnsi="XO Thames"/>
      <w:sz w:val="28"/>
    </w:rPr>
  </w:style>
  <w:style w:styleId="Style_9" w:type="paragraph">
    <w:name w:val="heading 5"/>
    <w:next w:val="Style_2"/>
    <w:link w:val="Style_9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9_ch" w:type="character">
    <w:name w:val="heading 5"/>
    <w:link w:val="Style_9"/>
    <w:rPr>
      <w:rFonts w:ascii="XO Thames" w:hAnsi="XO Thames"/>
      <w:b w:val="1"/>
      <w:sz w:val="22"/>
    </w:rPr>
  </w:style>
  <w:style w:styleId="Style_10" w:type="paragraph">
    <w:name w:val="heading 1"/>
    <w:next w:val="Style_2"/>
    <w:link w:val="Style_10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0_ch" w:type="character">
    <w:name w:val="heading 1"/>
    <w:link w:val="Style_10"/>
    <w:rPr>
      <w:rFonts w:ascii="XO Thames" w:hAnsi="XO Thames"/>
      <w:b w:val="1"/>
      <w:sz w:val="32"/>
    </w:rPr>
  </w:style>
  <w:style w:styleId="Style_1" w:type="paragraph">
    <w:name w:val="Hyperlink"/>
    <w:basedOn w:val="Style_11"/>
    <w:link w:val="Style_1_ch"/>
    <w:rPr>
      <w:color w:themeColor="hyperlink" w:val="0563C1"/>
      <w:u w:val="single"/>
    </w:rPr>
  </w:style>
  <w:style w:styleId="Style_1_ch" w:type="character">
    <w:name w:val="Hyperlink"/>
    <w:basedOn w:val="Style_11_ch"/>
    <w:link w:val="Style_1"/>
    <w:rPr>
      <w:color w:themeColor="hyperlink" w:val="0563C1"/>
      <w:u w:val="single"/>
    </w:rPr>
  </w:style>
  <w:style w:styleId="Style_12" w:type="paragraph">
    <w:name w:val="Footnote"/>
    <w:link w:val="Style_12_ch"/>
    <w:pPr>
      <w:ind w:firstLine="851" w:left="0"/>
      <w:jc w:val="both"/>
    </w:pPr>
    <w:rPr>
      <w:rFonts w:ascii="XO Thames" w:hAnsi="XO Thames"/>
      <w:sz w:val="22"/>
    </w:rPr>
  </w:style>
  <w:style w:styleId="Style_12_ch" w:type="character">
    <w:name w:val="Footnote"/>
    <w:link w:val="Style_12"/>
    <w:rPr>
      <w:rFonts w:ascii="XO Thames" w:hAnsi="XO Thames"/>
      <w:sz w:val="22"/>
    </w:rPr>
  </w:style>
  <w:style w:styleId="Style_13" w:type="paragraph">
    <w:name w:val="toc 1"/>
    <w:next w:val="Style_2"/>
    <w:link w:val="Style_13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3_ch" w:type="character">
    <w:name w:val="toc 1"/>
    <w:link w:val="Style_13"/>
    <w:rPr>
      <w:rFonts w:ascii="XO Thames" w:hAnsi="XO Thames"/>
      <w:b w:val="1"/>
      <w:sz w:val="28"/>
    </w:rPr>
  </w:style>
  <w:style w:styleId="Style_14" w:type="paragraph">
    <w:name w:val="Header and Footer"/>
    <w:link w:val="Style_14_ch"/>
    <w:pPr>
      <w:spacing w:line="240" w:lineRule="auto"/>
      <w:ind/>
      <w:jc w:val="both"/>
    </w:pPr>
    <w:rPr>
      <w:rFonts w:ascii="XO Thames" w:hAnsi="XO Thames"/>
      <w:sz w:val="20"/>
    </w:rPr>
  </w:style>
  <w:style w:styleId="Style_14_ch" w:type="character">
    <w:name w:val="Header and Footer"/>
    <w:link w:val="Style_14"/>
    <w:rPr>
      <w:rFonts w:ascii="XO Thames" w:hAnsi="XO Thames"/>
      <w:sz w:val="20"/>
    </w:rPr>
  </w:style>
  <w:style w:styleId="Style_15" w:type="paragraph">
    <w:name w:val="toc 9"/>
    <w:next w:val="Style_2"/>
    <w:link w:val="Style_15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5_ch" w:type="character">
    <w:name w:val="toc 9"/>
    <w:link w:val="Style_15"/>
    <w:rPr>
      <w:rFonts w:ascii="XO Thames" w:hAnsi="XO Thames"/>
      <w:sz w:val="28"/>
    </w:rPr>
  </w:style>
  <w:style w:styleId="Style_16" w:type="paragraph">
    <w:name w:val="toc 8"/>
    <w:next w:val="Style_2"/>
    <w:link w:val="Style_16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6_ch" w:type="character">
    <w:name w:val="toc 8"/>
    <w:link w:val="Style_16"/>
    <w:rPr>
      <w:rFonts w:ascii="XO Thames" w:hAnsi="XO Thames"/>
      <w:sz w:val="28"/>
    </w:rPr>
  </w:style>
  <w:style w:styleId="Style_17" w:type="paragraph">
    <w:name w:val="toc 5"/>
    <w:next w:val="Style_2"/>
    <w:link w:val="Style_17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7_ch" w:type="character">
    <w:name w:val="toc 5"/>
    <w:link w:val="Style_17"/>
    <w:rPr>
      <w:rFonts w:ascii="XO Thames" w:hAnsi="XO Thames"/>
      <w:sz w:val="28"/>
    </w:rPr>
  </w:style>
  <w:style w:styleId="Style_18" w:type="paragraph">
    <w:name w:val="Subtitle"/>
    <w:next w:val="Style_2"/>
    <w:link w:val="Style_18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8_ch" w:type="character">
    <w:name w:val="Subtitle"/>
    <w:link w:val="Style_18"/>
    <w:rPr>
      <w:rFonts w:ascii="XO Thames" w:hAnsi="XO Thames"/>
      <w:i w:val="1"/>
      <w:sz w:val="24"/>
    </w:rPr>
  </w:style>
  <w:style w:styleId="Style_11" w:type="paragraph">
    <w:name w:val="Default Paragraph Font"/>
    <w:link w:val="Style_11_ch"/>
  </w:style>
  <w:style w:styleId="Style_11_ch" w:type="character">
    <w:name w:val="Default Paragraph Font"/>
    <w:link w:val="Style_11"/>
  </w:style>
  <w:style w:styleId="Style_19" w:type="paragraph">
    <w:name w:val="Title"/>
    <w:next w:val="Style_2"/>
    <w:link w:val="Style_19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9_ch" w:type="character">
    <w:name w:val="Title"/>
    <w:link w:val="Style_19"/>
    <w:rPr>
      <w:rFonts w:ascii="XO Thames" w:hAnsi="XO Thames"/>
      <w:b w:val="1"/>
      <w:caps w:val="1"/>
      <w:sz w:val="40"/>
    </w:rPr>
  </w:style>
  <w:style w:styleId="Style_20" w:type="paragraph">
    <w:name w:val="heading 4"/>
    <w:next w:val="Style_2"/>
    <w:link w:val="Style_20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0_ch" w:type="character">
    <w:name w:val="heading 4"/>
    <w:link w:val="Style_20"/>
    <w:rPr>
      <w:rFonts w:ascii="XO Thames" w:hAnsi="XO Thames"/>
      <w:b w:val="1"/>
      <w:sz w:val="24"/>
    </w:rPr>
  </w:style>
  <w:style w:styleId="Style_21" w:type="paragraph">
    <w:name w:val="heading 2"/>
    <w:next w:val="Style_2"/>
    <w:link w:val="Style_21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1_ch" w:type="character">
    <w:name w:val="heading 2"/>
    <w:link w:val="Style_21"/>
    <w:rPr>
      <w:rFonts w:ascii="XO Thames" w:hAnsi="XO Thames"/>
      <w:b w:val="1"/>
      <w:sz w:val="28"/>
    </w:rPr>
  </w:style>
  <w:style w:default="1" w:styleId="Style_2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webSettings.xml" Type="http://schemas.openxmlformats.org/officeDocument/2006/relationships/webSettings"/>
  <Relationship Id="rId10" Target="stylesWithEffects.xml" Type="http://schemas.microsoft.com/office/2007/relationships/stylesWithEffects"/>
  <Relationship Id="rId7" Target="fontTable.xml" Type="http://schemas.openxmlformats.org/officeDocument/2006/relationships/fontTable"/>
  <Relationship Id="rId6" Target="media/6.png" Type="http://schemas.openxmlformats.org/officeDocument/2006/relationships/image"/>
  <Relationship Id="rId13" Target="numbering.xml" Type="http://schemas.openxmlformats.org/officeDocument/2006/relationships/numbering"/>
  <Relationship Id="rId9" Target="styles.xml" Type="http://schemas.openxmlformats.org/officeDocument/2006/relationships/styles"/>
  <Relationship Id="rId5" Target="media/5.png" Type="http://schemas.openxmlformats.org/officeDocument/2006/relationships/image"/>
  <Relationship Id="rId8" Target="settings.xml" Type="http://schemas.openxmlformats.org/officeDocument/2006/relationships/settings"/>
  <Relationship Id="rId4" Target="media/4.png" Type="http://schemas.openxmlformats.org/officeDocument/2006/relationships/image"/>
  <Relationship Id="rId12" Target="theme/theme1.xml" Type="http://schemas.openxmlformats.org/officeDocument/2006/relationships/theme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MyOffice-CoreFramework-Windows/25-982.666.6545.616.0@RELEASE-DESKTOP-WASSABI_HOME-RC-RENEW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2025-02-11T21:45:37Z</dcterms:modified>
</cp:coreProperties>
</file>