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0A" w:rsidRPr="00341C0A" w:rsidRDefault="00341C0A" w:rsidP="00341C0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41C0A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>Утверждено расписание ОГЭ и ГВЭ на 2025 год</w:t>
      </w:r>
    </w:p>
    <w:p w:rsidR="00341C0A" w:rsidRPr="00341C0A" w:rsidRDefault="00341C0A" w:rsidP="00341C0A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341C0A">
        <w:rPr>
          <w:rFonts w:ascii="inherit" w:eastAsia="Times New Roman" w:hAnsi="inherit" w:cs="Times New Roman"/>
          <w:noProof/>
          <w:color w:val="013B8D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40048BCF" wp14:editId="1511F28A">
            <wp:extent cx="2714625" cy="2038350"/>
            <wp:effectExtent l="0" t="0" r="9525" b="0"/>
            <wp:docPr id="1" name="Рисунок 1" descr="http://www.orcoko.ru/wp-content/uploads/2024/12/%D0%9E%D0%93%D0%AD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coko.ru/wp-content/uploads/2024/12/%D0%9E%D0%93%D0%AD_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Совместными </w:t>
      </w:r>
      <w:r w:rsidRPr="00341C0A">
        <w:rPr>
          <w:rFonts w:ascii="Lato-Bold" w:eastAsia="Times New Roman" w:hAnsi="Lato-Bold" w:cs="Times New Roman"/>
          <w:b/>
          <w:bCs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приказами</w:t>
      </w: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 </w:t>
      </w:r>
      <w:proofErr w:type="spellStart"/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Минпросвещения</w:t>
      </w:r>
      <w:proofErr w:type="spellEnd"/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 xml:space="preserve"> России и </w:t>
      </w:r>
      <w:proofErr w:type="spellStart"/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Рособрнадзора</w:t>
      </w:r>
      <w:proofErr w:type="spellEnd"/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 xml:space="preserve"> утверждены расписания и продолжительность проведения </w:t>
      </w:r>
      <w:r w:rsidRPr="00341C0A">
        <w:rPr>
          <w:rFonts w:ascii="Lato-Bold" w:eastAsia="Times New Roman" w:hAnsi="Lato-Bold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основного государственного экзамена (ОГЭ)</w:t>
      </w: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 и </w:t>
      </w:r>
      <w:r w:rsidRPr="00341C0A">
        <w:rPr>
          <w:rFonts w:ascii="Lato-Bold" w:eastAsia="Times New Roman" w:hAnsi="Lato-Bold" w:cs="Times New Roman"/>
          <w:b/>
          <w:bCs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государственного выпускного экзамена (ГВЭ)</w:t>
      </w: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 на 2025 год.</w:t>
      </w:r>
    </w:p>
    <w:p w:rsidR="00341C0A" w:rsidRPr="00341C0A" w:rsidRDefault="00341C0A" w:rsidP="00341C0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ОГЭ и ГВЭ в 2025 году пройдет в три этапа: досрочный (с 22 апреля по 6 мая), основной (с 21 мая по 16 июня) и дополнительный (со 2 по 12 сентября).</w:t>
      </w:r>
    </w:p>
    <w:p w:rsidR="00341C0A" w:rsidRPr="00341C0A" w:rsidRDefault="00341C0A" w:rsidP="00341C0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экзаменах возможно в резервные сроки (12 — 17 мая, 26 — 2 июля, 17 — 23 сентября).</w:t>
      </w:r>
    </w:p>
    <w:p w:rsidR="00341C0A" w:rsidRPr="00341C0A" w:rsidRDefault="00341C0A" w:rsidP="00341C0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Выпускники, получившие неудовлетворительные результаты по учебным предметам смогут участвовать в ГИА в дополнительный период со 2 по 23 сентября 2025 года.</w:t>
      </w:r>
    </w:p>
    <w:p w:rsidR="00341C0A" w:rsidRDefault="00341C0A" w:rsidP="00341C0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Заявления на участие в ГИА-9 принимаются до 1 марта 2025 года.</w:t>
      </w:r>
    </w:p>
    <w:p w:rsidR="00341C0A" w:rsidRDefault="00341C0A" w:rsidP="00341C0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41C0A" w:rsidRDefault="00341C0A" w:rsidP="00341C0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41C0A" w:rsidRDefault="00341C0A" w:rsidP="00341C0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41C0A" w:rsidRDefault="00341C0A" w:rsidP="00341C0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41C0A" w:rsidRDefault="00341C0A" w:rsidP="00341C0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41C0A" w:rsidRPr="00341C0A" w:rsidRDefault="00341C0A" w:rsidP="00341C0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341C0A">
        <w:rPr>
          <w:rFonts w:ascii="inherit" w:eastAsia="Times New Roman" w:hAnsi="inherit" w:cs="Times New Roman"/>
          <w:noProof/>
          <w:color w:val="013B8D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 wp14:anchorId="097465C2" wp14:editId="63489B0E">
            <wp:extent cx="3048000" cy="4313208"/>
            <wp:effectExtent l="0" t="0" r="0" b="0"/>
            <wp:docPr id="2" name="Рисунок 2" descr="http://www.orcoko.ru/wp-content/uploads/2022/03/%D0%94%D0%BE%D1%81%D1%80%D0%BE%D1%87%D0%BD%D1%8B%D0%B9-%D0%BF%D0%B5%D1%80%D0%B8%D0%BE%D0%B4-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coko.ru/wp-content/uploads/2022/03/%D0%94%D0%BE%D1%81%D1%80%D0%BE%D1%87%D0%BD%D1%8B%D0%B9-%D0%BF%D0%B5%D1%80%D0%B8%D0%BE%D0%B4-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80" cy="431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 xml:space="preserve">   </w:t>
      </w: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 </w:t>
      </w:r>
      <w:r w:rsidRPr="00341C0A">
        <w:rPr>
          <w:rFonts w:ascii="inherit" w:eastAsia="Times New Roman" w:hAnsi="inherit" w:cs="Times New Roman"/>
          <w:noProof/>
          <w:color w:val="013B8D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517089FC" wp14:editId="0D836316">
            <wp:extent cx="3055874" cy="4324350"/>
            <wp:effectExtent l="0" t="0" r="0" b="0"/>
            <wp:docPr id="3" name="Рисунок 3" descr="http://www.orcoko.ru/wp-content/uploads/2022/03/%D0%9E%D1%81%D0%BD%D0%BE%D0%B2%D0%BD%D0%BE%D0%B9-%D0%BF%D0%B5%D1%80%D0%B8%D0%BE%D0%B4-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coko.ru/wp-content/uploads/2022/03/%D0%9E%D1%81%D0%BD%D0%BE%D0%B2%D0%BD%D0%BE%D0%B9-%D0%BF%D0%B5%D1%80%D0%B8%D0%BE%D0%B4-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74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C0A"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  <w:t> </w:t>
      </w:r>
    </w:p>
    <w:p w:rsidR="00341C0A" w:rsidRDefault="00341C0A" w:rsidP="00341C0A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</w:p>
    <w:p w:rsidR="00341C0A" w:rsidRPr="00341C0A" w:rsidRDefault="00341C0A" w:rsidP="00341C0A">
      <w:pPr>
        <w:spacing w:after="0" w:line="240" w:lineRule="auto"/>
        <w:jc w:val="center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341C0A">
        <w:rPr>
          <w:rFonts w:ascii="inherit" w:eastAsia="Times New Roman" w:hAnsi="inherit" w:cs="Times New Roman"/>
          <w:noProof/>
          <w:color w:val="013B8D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56A5F76" wp14:editId="647D5444">
            <wp:extent cx="3066644" cy="3181350"/>
            <wp:effectExtent l="0" t="0" r="635" b="0"/>
            <wp:docPr id="4" name="Рисунок 4" descr="http://www.orcoko.ru/wp-content/uploads/2022/03/%D0%94%D0%BE%D0%BF%D0%BE%D0%BB%D0%BD%D0%B8%D1%82%D0%B5%D0%BB%D1%8C%D0%BD%D1%8B%D0%B9-%D0%BF%D0%B5%D1%80%D0%B8%D0%BE%D0%B4-1-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coko.ru/wp-content/uploads/2022/03/%D0%94%D0%BE%D0%BF%D0%BE%D0%BB%D0%BD%D0%B8%D1%82%D0%B5%D0%BB%D1%8C%D0%BD%D1%8B%D0%B9-%D0%BF%D0%B5%D1%80%D0%B8%D0%BE%D0%B4-1-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90"/>
                    <a:stretch/>
                  </pic:blipFill>
                  <pic:spPr bwMode="auto">
                    <a:xfrm>
                      <a:off x="0" y="0"/>
                      <a:ext cx="3066644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895" w:rsidRDefault="00584895"/>
    <w:sectPr w:rsidR="00584895" w:rsidSect="00341C0A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F"/>
    <w:rsid w:val="00341C0A"/>
    <w:rsid w:val="00584895"/>
    <w:rsid w:val="009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9788-492B-40B5-9215-B7C0DB2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oko.ru/wp-content/uploads/2022/03/%D0%9E%D1%81%D0%BD%D0%BE%D0%B2%D0%BD%D0%BE%D0%B9-%D0%BF%D0%B5%D1%80%D0%B8%D0%BE%D0%B4-3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coko.ru/wp-content/uploads/2022/03/%D0%94%D0%BE%D1%81%D1%80%D0%BE%D1%87%D0%BD%D1%8B%D0%B9-%D0%BF%D0%B5%D1%80%D0%B8%D0%BE%D0%B4-2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orcoko.ru/wp-content/uploads/2022/03/%D0%94%D0%BE%D0%BF%D0%BE%D0%BB%D0%BD%D0%B8%D1%82%D0%B5%D0%BB%D1%8C%D0%BD%D1%8B%D0%B9-%D0%BF%D0%B5%D1%80%D0%B8%D0%BE%D0%B4-1-1.png" TargetMode="External"/><Relationship Id="rId4" Type="http://schemas.openxmlformats.org/officeDocument/2006/relationships/hyperlink" Target="http://www.orcoko.ru/wp-content/uploads/2024/12/%D0%9E%D0%93%D0%AD_1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2024-12-17T05:38:00Z</cp:lastPrinted>
  <dcterms:created xsi:type="dcterms:W3CDTF">2024-12-17T05:34:00Z</dcterms:created>
  <dcterms:modified xsi:type="dcterms:W3CDTF">2024-12-17T05:40:00Z</dcterms:modified>
</cp:coreProperties>
</file>