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</w:t>
      </w:r>
      <w:r>
        <w:rPr>
          <w:rFonts w:cs="Times New Roman" w:ascii="Times New Roman" w:hAnsi="Times New Roman"/>
          <w:sz w:val="28"/>
          <w:szCs w:val="28"/>
        </w:rPr>
        <w:t>В период с 16 по 30 апреля 2023 года в Ловчиковской основной общеобразовательной школе в центре «Точка роста» продолжалась образовательная деятельность.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</w:t>
      </w:r>
      <w:r>
        <w:rPr>
          <w:rFonts w:cs="Times New Roman" w:ascii="Times New Roman" w:hAnsi="Times New Roman"/>
          <w:sz w:val="28"/>
          <w:szCs w:val="28"/>
        </w:rPr>
        <w:t>На уроке физики в 7 классе изучалось правило равновесия рычага. Школьники познакомились с различными видами простых механизмов, рассмотрели устройство и принцип действия рычага, выяснили на опыте условия его равновесия. Использовалось оборудование: набор грузов, демонстрационная линейка – рычаг, лабораторные весы и др.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</w:t>
      </w:r>
      <w:r>
        <w:rPr>
          <w:rFonts w:cs="Times New Roman" w:ascii="Times New Roman" w:hAnsi="Times New Roman"/>
          <w:sz w:val="28"/>
          <w:szCs w:val="28"/>
        </w:rPr>
        <w:t>- Я понял смысл высказывания Архимеда «Дайте мне точку опоры, и я сдвину Землю», потому что рычаг в умелых руках превращает тяжёлый груз в лёгкий. Знания, которые я получил на уроке, пригодятся в повседневной жизни, - сказал Степанов Степан.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</w:t>
      </w:r>
      <w:r>
        <w:rPr>
          <w:rFonts w:eastAsia="Calibri" w:cs="Times New Roman" w:ascii="Times New Roman" w:hAnsi="Times New Roman"/>
          <w:sz w:val="28"/>
          <w:szCs w:val="28"/>
        </w:rPr>
        <w:t>На уроке-практикуме по физике «Постоянные магниты и их свойства» (8 класс) проводилась опыты, в ходе которых школьники испытали постоянные магниты, познакомились со свойствами магнитного поля, расширили кругозор в области магнитных явлений. В ходе занятия использовались физические приборы: полосовые и подковообразные магниты, магнитные стрелки на подставке и др.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        </w:t>
      </w:r>
      <w:r>
        <w:rPr>
          <w:rFonts w:cs="Times New Roman" w:ascii="Times New Roman" w:hAnsi="Times New Roman"/>
          <w:sz w:val="28"/>
          <w:szCs w:val="28"/>
        </w:rPr>
        <w:t>На уроках и внеурочных занятиях по химии в 8 классе изучалась тема «Химическая связь. Окислительно-восстановительные реакции</w:t>
      </w:r>
      <w:r>
        <w:rPr>
          <w:rFonts w:eastAsia="Calibri" w:cs="Times New Roman" w:ascii="Times New Roman" w:hAnsi="Times New Roman"/>
          <w:sz w:val="28"/>
          <w:szCs w:val="28"/>
        </w:rPr>
        <w:t>». Учитель химии Ю.В. Муромцев провёл демонстрационные опыты «Горение магния», «Получение белого фосфора» и «Амфотерность гидроксида алюминия».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        </w:t>
      </w:r>
      <w:r>
        <w:rPr>
          <w:rFonts w:eastAsia="Calibri" w:cs="Times New Roman" w:ascii="Times New Roman" w:hAnsi="Times New Roman"/>
          <w:sz w:val="28"/>
          <w:szCs w:val="28"/>
        </w:rPr>
        <w:t>- Я поняла, что такое амфотерность благодаря химическим опытам, сказала ученица 8 класса Зенина Екатерина.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        </w:t>
      </w:r>
      <w:r>
        <w:rPr>
          <w:rFonts w:eastAsia="Calibri" w:cs="Times New Roman" w:ascii="Times New Roman" w:hAnsi="Times New Roman"/>
          <w:sz w:val="28"/>
          <w:szCs w:val="28"/>
        </w:rPr>
        <w:t>На уроках биологии в 6 классе школьники совершили экскурсию в природу, изучали систематику покрытосеменных растений. При повторении пройденного использовался гербарий дикорастущих и культурных растений, коллекция плодов и семян.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        </w:t>
      </w:r>
      <w:r>
        <w:rPr>
          <w:rFonts w:eastAsia="Calibri" w:cs="Times New Roman" w:ascii="Times New Roman" w:hAnsi="Times New Roman"/>
          <w:sz w:val="28"/>
          <w:szCs w:val="28"/>
        </w:rPr>
        <w:t>В 7 классе школьники изучали тему «Значение млекопитающих в природе и жизни человека». В ходе занятий для демонстрации наглядных примеров использовался ноутбук и мультимедийный проектор.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        </w:t>
      </w:r>
      <w:r>
        <w:rPr>
          <w:rFonts w:eastAsia="Calibri" w:cs="Times New Roman" w:ascii="Times New Roman" w:hAnsi="Times New Roman"/>
          <w:sz w:val="28"/>
          <w:szCs w:val="28"/>
        </w:rPr>
        <w:t>В 8 классе изучались инфекционные заболевания человека, передающиеся половым путём, в том числе СПИД.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        </w:t>
      </w:r>
      <w:r>
        <w:rPr>
          <w:rFonts w:eastAsia="Calibri" w:cs="Times New Roman" w:ascii="Times New Roman" w:hAnsi="Times New Roman"/>
          <w:sz w:val="28"/>
          <w:szCs w:val="28"/>
        </w:rPr>
        <w:t>- Я узнала о способах проникновения инфекции в организм человека и о мерах профилактики неизлечимого заболевания благодаря дополнительной информации, полученной из сети Интернет, сказала ученица 8 класса Короткова Полина.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        </w:t>
      </w:r>
      <w:r>
        <w:rPr>
          <w:rFonts w:eastAsia="Calibri" w:cs="Times New Roman" w:ascii="Times New Roman" w:hAnsi="Times New Roman"/>
          <w:sz w:val="28"/>
          <w:szCs w:val="28"/>
        </w:rPr>
        <w:t xml:space="preserve">В ходе внеурочных занятий школьники приобщились к участию в Международной интернет-акции «Весна идёт!». В координационный центр по электронной почте </w:t>
      </w:r>
      <w:hyperlink r:id="rId2">
        <w:r>
          <w:rPr>
            <w:rFonts w:eastAsia="Calibri" w:cs="Times New Roman" w:ascii="Times New Roman" w:hAnsi="Times New Roman"/>
            <w:color w:val="auto"/>
            <w:sz w:val="28"/>
            <w:szCs w:val="28"/>
            <w:lang w:val="en-US"/>
          </w:rPr>
          <w:t>sopr</w:t>
        </w:r>
        <w:r>
          <w:rPr>
            <w:rFonts w:eastAsia="Calibri" w:cs="Times New Roman" w:ascii="Times New Roman" w:hAnsi="Times New Roman"/>
            <w:color w:val="auto"/>
            <w:sz w:val="28"/>
            <w:szCs w:val="28"/>
          </w:rPr>
          <w:t>@</w:t>
        </w:r>
        <w:r>
          <w:rPr>
            <w:rFonts w:eastAsia="Calibri" w:cs="Times New Roman" w:ascii="Times New Roman" w:hAnsi="Times New Roman"/>
            <w:color w:val="auto"/>
            <w:sz w:val="28"/>
            <w:szCs w:val="28"/>
            <w:lang w:val="en-US"/>
          </w:rPr>
          <w:t>dront</w:t>
        </w:r>
        <w:r>
          <w:rPr>
            <w:rFonts w:eastAsia="Calibri" w:cs="Times New Roman" w:ascii="Times New Roman" w:hAnsi="Times New Roman"/>
            <w:color w:val="auto"/>
            <w:sz w:val="28"/>
            <w:szCs w:val="28"/>
          </w:rPr>
          <w:t>.</w:t>
        </w:r>
        <w:r>
          <w:rPr>
            <w:rFonts w:eastAsia="Calibri" w:cs="Times New Roman" w:ascii="Times New Roman" w:hAnsi="Times New Roman"/>
            <w:color w:val="auto"/>
            <w:sz w:val="28"/>
            <w:szCs w:val="28"/>
            <w:lang w:val="en-US"/>
          </w:rPr>
          <w:t>ru</w:t>
        </w:r>
      </w:hyperlink>
      <w:r>
        <w:rPr>
          <w:rFonts w:eastAsia="Calibri" w:cs="Times New Roman" w:ascii="Times New Roman" w:hAnsi="Times New Roman"/>
          <w:sz w:val="28"/>
          <w:szCs w:val="28"/>
        </w:rPr>
        <w:t xml:space="preserve"> (по просьбе учёных) передаются сведения о прилёте белого аиста, деревенской ласточки, обыкновенной кукушки и чёрного стрижа. Используется компьютер</w:t>
      </w:r>
      <w:bookmarkStart w:id="0" w:name="_GoBack"/>
      <w:bookmarkEnd w:id="0"/>
      <w:r>
        <w:rPr>
          <w:rFonts w:eastAsia="Calibri" w:cs="Times New Roman" w:ascii="Times New Roman" w:hAnsi="Times New Roman"/>
          <w:sz w:val="28"/>
          <w:szCs w:val="28"/>
        </w:rPr>
        <w:t xml:space="preserve"> с выходом в Интернет.</w:t>
      </w:r>
      <w:r>
        <w:br w:type="page"/>
      </w:r>
    </w:p>
    <w:tbl>
      <w:tblPr>
        <w:tblW w:w="9405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65"/>
        <w:gridCol w:w="795"/>
        <w:gridCol w:w="4245"/>
      </w:tblGrid>
      <w:tr>
        <w:trPr/>
        <w:tc>
          <w:tcPr>
            <w:tcW w:w="4365" w:type="dxa"/>
            <w:tcBorders/>
          </w:tcPr>
          <w:p>
            <w:pPr>
              <w:pStyle w:val="Style20"/>
              <w:pageBreakBefore/>
              <w:widowControl w:val="false"/>
              <w:suppressLineNumbers/>
              <w:spacing w:before="0" w:after="160"/>
              <w:rPr/>
            </w:pPr>
            <w:r>
              <w:rPr/>
              <w:drawing>
                <wp:anchor behindDoc="0" distT="0" distB="0" distL="0" distR="0" simplePos="0" locked="0" layoutInCell="0" allowOverlap="1" relativeHeight="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790825" cy="1690370"/>
                  <wp:effectExtent l="0" t="0" r="0" b="0"/>
                  <wp:wrapSquare wrapText="largest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69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5" w:type="dxa"/>
            <w:tcBorders/>
          </w:tcPr>
          <w:p>
            <w:pPr>
              <w:pStyle w:val="Style20"/>
              <w:widowControl w:val="false"/>
              <w:suppressLineNumbers/>
              <w:spacing w:before="0" w:after="160"/>
              <w:rPr/>
            </w:pPr>
            <w:r>
              <w:rPr/>
            </w:r>
          </w:p>
        </w:tc>
        <w:tc>
          <w:tcPr>
            <w:tcW w:w="4245" w:type="dxa"/>
            <w:tcBorders/>
          </w:tcPr>
          <w:p>
            <w:pPr>
              <w:pStyle w:val="Style20"/>
              <w:widowControl w:val="false"/>
              <w:suppressLineNumbers/>
              <w:spacing w:before="0" w:after="160"/>
              <w:rPr/>
            </w:pPr>
            <w:r>
              <w:rPr/>
              <w:drawing>
                <wp:anchor behindDoc="0" distT="0" distB="0" distL="0" distR="0" simplePos="0" locked="0" layoutInCell="0" allowOverlap="1" relativeHeight="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667000" cy="1723390"/>
                  <wp:effectExtent l="0" t="0" r="0" b="0"/>
                  <wp:wrapSquare wrapText="largest"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666" w:hRule="atLeast"/>
        </w:trPr>
        <w:tc>
          <w:tcPr>
            <w:tcW w:w="4365" w:type="dxa"/>
            <w:tcBorders/>
          </w:tcPr>
          <w:p>
            <w:pPr>
              <w:pStyle w:val="Style20"/>
              <w:widowControl w:val="false"/>
              <w:suppressLineNumbers/>
              <w:spacing w:before="0" w:after="160"/>
              <w:rPr/>
            </w:pPr>
            <w:r>
              <w:rPr/>
              <w:drawing>
                <wp:anchor behindDoc="0" distT="0" distB="0" distL="0" distR="0" simplePos="0" locked="0" layoutInCell="0" allowOverlap="1" relativeHeight="4">
                  <wp:simplePos x="0" y="0"/>
                  <wp:positionH relativeFrom="column">
                    <wp:posOffset>3482975</wp:posOffset>
                  </wp:positionH>
                  <wp:positionV relativeFrom="paragraph">
                    <wp:posOffset>390525</wp:posOffset>
                  </wp:positionV>
                  <wp:extent cx="1999615" cy="2666365"/>
                  <wp:effectExtent l="0" t="0" r="0" b="0"/>
                  <wp:wrapSquare wrapText="largest"/>
                  <wp:docPr id="3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266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0" allowOverlap="1" relativeHeight="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457200</wp:posOffset>
                  </wp:positionV>
                  <wp:extent cx="2771775" cy="2658745"/>
                  <wp:effectExtent l="0" t="0" r="0" b="0"/>
                  <wp:wrapSquare wrapText="largest"/>
                  <wp:docPr id="4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65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5" w:type="dxa"/>
            <w:tcBorders/>
          </w:tcPr>
          <w:p>
            <w:pPr>
              <w:pStyle w:val="Style20"/>
              <w:widowControl w:val="false"/>
              <w:suppressLineNumbers/>
              <w:spacing w:before="0" w:after="160"/>
              <w:rPr/>
            </w:pPr>
            <w:r>
              <w:rPr/>
            </w:r>
          </w:p>
        </w:tc>
        <w:tc>
          <w:tcPr>
            <w:tcW w:w="4245" w:type="dxa"/>
            <w:tcBorders/>
          </w:tcPr>
          <w:p>
            <w:pPr>
              <w:pStyle w:val="Style20"/>
              <w:widowControl w:val="false"/>
              <w:suppressLineNumbers/>
              <w:spacing w:before="0" w:after="160"/>
              <w:rPr/>
            </w:pPr>
            <w:r>
              <w:rPr/>
            </w:r>
          </w:p>
        </w:tc>
      </w:tr>
      <w:tr>
        <w:trPr>
          <w:trHeight w:val="3915" w:hRule="atLeast"/>
        </w:trPr>
        <w:tc>
          <w:tcPr>
            <w:tcW w:w="4365" w:type="dxa"/>
            <w:tcBorders/>
          </w:tcPr>
          <w:p>
            <w:pPr>
              <w:pStyle w:val="Style20"/>
              <w:widowControl w:val="false"/>
              <w:suppressLineNumbers/>
              <w:spacing w:before="0" w:after="160"/>
              <w:rPr/>
            </w:pPr>
            <w:r>
              <w:rPr/>
            </w:r>
          </w:p>
        </w:tc>
        <w:tc>
          <w:tcPr>
            <w:tcW w:w="795" w:type="dxa"/>
            <w:tcBorders/>
          </w:tcPr>
          <w:p>
            <w:pPr>
              <w:pStyle w:val="Style20"/>
              <w:widowControl w:val="false"/>
              <w:suppressLineNumbers/>
              <w:spacing w:before="0" w:after="160"/>
              <w:rPr/>
            </w:pPr>
            <w:r>
              <w:rPr/>
              <w:drawing>
                <wp:anchor behindDoc="0" distT="0" distB="0" distL="0" distR="0" simplePos="0" locked="0" layoutInCell="0" allowOverlap="1" relativeHeight="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209415" cy="2367915"/>
                  <wp:effectExtent l="0" t="0" r="0" b="0"/>
                  <wp:wrapSquare wrapText="largest"/>
                  <wp:docPr id="5" name="Изображение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9415" cy="236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45" w:type="dxa"/>
            <w:tcBorders/>
          </w:tcPr>
          <w:p>
            <w:pPr>
              <w:pStyle w:val="Style20"/>
              <w:widowControl w:val="false"/>
              <w:suppressLineNumbers/>
              <w:spacing w:before="0" w:after="160"/>
              <w:rPr/>
            </w:pPr>
            <w:r>
              <w:rPr/>
            </w:r>
          </w:p>
        </w:tc>
      </w:tr>
    </w:tbl>
    <w:p>
      <w:pPr>
        <w:pStyle w:val="Normal"/>
        <w:spacing w:before="0" w:after="0"/>
        <w:jc w:val="both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63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4c3009"/>
    <w:rPr>
      <w:color w:val="0563C1" w:themeColor="hyperlink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Style20">
    <w:name w:val="Содержимое таблицы"/>
    <w:basedOn w:val="Normal"/>
    <w:qFormat/>
    <w:pPr>
      <w:widowControl w:val="false"/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sopr@dront.ru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Application>LibreOffice/7.0.4.2$Windows_X86_64 LibreOffice_project/dcf040e67528d9187c66b2379df5ea4407429775</Application>
  <AppVersion>15.0000</AppVersion>
  <Pages>2</Pages>
  <Words>332</Words>
  <Characters>2196</Characters>
  <CharactersWithSpaces>2606</CharactersWithSpaces>
  <Paragraphs>11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2023-04-13T17:10:00Z</dcterms:created>
  <dc:creator>User</dc:creator>
  <dc:description/>
  <dc:language>ru-RU</dc:language>
  <cp:lastModifiedBy/>
  <dcterms:modified xsi:type="dcterms:W3CDTF">2023-05-09T13:42:23Z</dcterms:modified>
  <cp:revision>22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